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38" w:rsidRPr="00583438" w:rsidRDefault="00583438" w:rsidP="00583438">
      <w:pPr>
        <w:pStyle w:val="Heading1"/>
        <w:jc w:val="center"/>
      </w:pPr>
      <w:r>
        <w:br/>
      </w:r>
      <w:r w:rsidRPr="00583438">
        <w:t>ΑΝΑΚΟΙΝΩΣΗ ΡΥΘΜΙΖΟΜΕΝΗΣ ΠΛΗΡΟΦΟΡΙΑΣ ΤΟΥ Ν. 3556/2007: Γνωστοποίηση συναλλαγών</w:t>
      </w:r>
    </w:p>
    <w:p w:rsidR="00583438" w:rsidRPr="00583438" w:rsidRDefault="00583438" w:rsidP="00583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3438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20/04/2015 αγορά 160 κοινών ονομαστικών μετοχών της εταιρείας μας. Η συνολική αξία της συναλλαγής ανήλθε σε  64,89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147"/>
    <w:multiLevelType w:val="multilevel"/>
    <w:tmpl w:val="EA3A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83438"/>
    <w:rsid w:val="00583438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583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43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83438"/>
    <w:rPr>
      <w:b/>
      <w:bCs/>
    </w:rPr>
  </w:style>
  <w:style w:type="character" w:customStyle="1" w:styleId="time">
    <w:name w:val="time"/>
    <w:basedOn w:val="DefaultParagraphFont"/>
    <w:rsid w:val="00583438"/>
  </w:style>
  <w:style w:type="character" w:styleId="Hyperlink">
    <w:name w:val="Hyperlink"/>
    <w:basedOn w:val="DefaultParagraphFont"/>
    <w:uiPriority w:val="99"/>
    <w:semiHidden/>
    <w:unhideWhenUsed/>
    <w:rsid w:val="00583438"/>
    <w:rPr>
      <w:color w:val="0000FF"/>
      <w:u w:val="single"/>
    </w:rPr>
  </w:style>
  <w:style w:type="character" w:customStyle="1" w:styleId="in-widget">
    <w:name w:val="in-widget"/>
    <w:basedOn w:val="DefaultParagraphFont"/>
    <w:rsid w:val="00583438"/>
  </w:style>
  <w:style w:type="paragraph" w:styleId="NormalWeb">
    <w:name w:val="Normal (Web)"/>
    <w:basedOn w:val="Normal"/>
    <w:uiPriority w:val="99"/>
    <w:semiHidden/>
    <w:unhideWhenUsed/>
    <w:rsid w:val="0058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77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2018-10-16T12:42:00Z</dcterms:created>
  <dcterms:modified xsi:type="dcterms:W3CDTF">2018-10-16T12:43:00Z</dcterms:modified>
</cp:coreProperties>
</file>